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990600</wp:posOffset>
            </wp:positionH>
            <wp:positionV relativeFrom="page">
              <wp:posOffset>95250</wp:posOffset>
            </wp:positionV>
            <wp:extent cx="5943600" cy="1219200"/>
            <wp:effectExtent b="0" l="0" r="0" t="0"/>
            <wp:wrapNone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35322" l="0" r="0" t="341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9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center"/>
        <w:rPr>
          <w:rFonts w:ascii="Century Schoolbook" w:cs="Century Schoolbook" w:eastAsia="Century Schoolbook" w:hAnsi="Century Schoolbook"/>
          <w:sz w:val="32"/>
          <w:szCs w:val="32"/>
        </w:rPr>
      </w:pPr>
      <w:bookmarkStart w:colFirst="0" w:colLast="0" w:name="_wzyu3idky0c7" w:id="0"/>
      <w:bookmarkEnd w:id="0"/>
      <w:r w:rsidDel="00000000" w:rsidR="00000000" w:rsidRPr="00000000">
        <w:rPr>
          <w:rFonts w:ascii="Century Schoolbook" w:cs="Century Schoolbook" w:eastAsia="Century Schoolbook" w:hAnsi="Century Schoolbook"/>
          <w:sz w:val="32"/>
          <w:szCs w:val="32"/>
          <w:rtl w:val="0"/>
        </w:rPr>
        <w:t xml:space="preserve">Анализ</w:t>
      </w:r>
      <w:r w:rsidDel="00000000" w:rsidR="00000000" w:rsidRPr="00000000">
        <w:rPr>
          <w:rFonts w:ascii="Century Schoolbook" w:cs="Century Schoolbook" w:eastAsia="Century Schoolbook" w:hAnsi="Century Schoolbook"/>
          <w:sz w:val="32"/>
          <w:szCs w:val="32"/>
          <w:rtl w:val="0"/>
        </w:rPr>
        <w:t xml:space="preserve"> на проведената анкета сред родителите, която </w:t>
      </w: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32"/>
          <w:szCs w:val="32"/>
          <w:highlight w:val="white"/>
          <w:rtl w:val="0"/>
        </w:rPr>
        <w:t xml:space="preserve">цели да оцени въздействието на иновативната  учебна програма за социално-емоционално  учене върху учениците</w:t>
      </w:r>
      <w:r w:rsidDel="00000000" w:rsidR="00000000" w:rsidRPr="00000000">
        <w:rPr>
          <w:rFonts w:ascii="Century Schoolbook" w:cs="Century Schoolbook" w:eastAsia="Century Schoolbook" w:hAnsi="Century Schoolbook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2343150</wp:posOffset>
            </wp:positionH>
            <wp:positionV relativeFrom="paragraph">
              <wp:posOffset>238125</wp:posOffset>
            </wp:positionV>
            <wp:extent cx="3729038" cy="2124075"/>
            <wp:effectExtent b="0" l="0" r="0" t="0"/>
            <wp:wrapSquare wrapText="bothSides" distB="114300" distT="114300" distL="114300" distR="114300"/>
            <wp:docPr descr="Диаграма за отговорите на формуляра. Заглавие на въпроса: 1. Забелязвате ли положителна промяна в начина, по който Вашето дете разпознава и изразява емоциите си у дома, откакто участва в иновацията?. Брой отговори: 40 отговора." id="1" name="image6.png"/>
            <a:graphic>
              <a:graphicData uri="http://schemas.openxmlformats.org/drawingml/2006/picture">
                <pic:pic>
                  <pic:nvPicPr>
                    <pic:cNvPr descr="Диаграма за отговорите на формуляра. Заглавие на въпроса: 1. Забелязвате ли положителна промяна в начина, по който Вашето дете разпознава и изразява емоциите си у дома, откакто участва в иновацията?. Брой отговори: 40 отговора." id="0" name="image6.png"/>
                    <pic:cNvPicPr preferRelativeResize="0"/>
                  </pic:nvPicPr>
                  <pic:blipFill>
                    <a:blip r:embed="rId7"/>
                    <a:srcRect b="0" l="0" r="0" t="2287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2124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24"/>
          <w:szCs w:val="24"/>
          <w:highlight w:val="white"/>
          <w:rtl w:val="0"/>
        </w:rPr>
        <w:t xml:space="preserve">1. Забелязвате ли положителна промяна в начина, по който Вашето дете разпознава и изразява емоциите си у дома, откакто участва в иновацията?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Резултати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: По-голямата част от родителите (87,5%) отчитат положителна промяна в емоционалната интелигентност на децата си.</w:t>
      </w:r>
    </w:p>
    <w:p w:rsidR="00000000" w:rsidDel="00000000" w:rsidP="00000000" w:rsidRDefault="00000000" w:rsidRPr="00000000" w14:paraId="0000000B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Анализ: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Конкретно 27,5% от анкетираните забелязват значителна промяна, докато 60% я определят като „до известна степен“. Само малка част (12,5%) не виждат разлика, което показва, че иновативната програма успешно пренася наученото от класната стая в семейната среда.</w:t>
      </w:r>
    </w:p>
    <w:p w:rsidR="00000000" w:rsidDel="00000000" w:rsidP="00000000" w:rsidRDefault="00000000" w:rsidRPr="00000000" w14:paraId="0000000C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24"/>
          <w:szCs w:val="24"/>
          <w:highlight w:val="white"/>
          <w:rtl w:val="0"/>
        </w:rPr>
        <w:t xml:space="preserve">2. Доколко сте съгласни, че програмата помага на Вашето дете да развие по-голяма увереност в себе си и умения за саморегулация?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2838450</wp:posOffset>
            </wp:positionH>
            <wp:positionV relativeFrom="paragraph">
              <wp:posOffset>161925</wp:posOffset>
            </wp:positionV>
            <wp:extent cx="3400425" cy="1960810"/>
            <wp:effectExtent b="0" l="0" r="0" t="0"/>
            <wp:wrapSquare wrapText="bothSides" distB="114300" distT="114300" distL="114300" distR="114300"/>
            <wp:docPr descr="Диаграма за отговорите на формуляра. Заглавие на въпроса: 2. Доколко сте съгласни, че програмата помага на Вашето дете да развие по-голяма увереност в себе си и умения за саморегулация?. Брой отговори: 40 отговора." id="4" name="image4.png"/>
            <a:graphic>
              <a:graphicData uri="http://schemas.openxmlformats.org/drawingml/2006/picture">
                <pic:pic>
                  <pic:nvPicPr>
                    <pic:cNvPr descr="Диаграма за отговорите на формуляра. Заглавие на въпроса: 2. Доколко сте съгласни, че програмата помага на Вашето дете да развие по-голяма увереност в себе си и умения за саморегулация?. Брой отговори: 40 отговора." id="0" name="image4.png"/>
                    <pic:cNvPicPr preferRelativeResize="0"/>
                  </pic:nvPicPr>
                  <pic:blipFill>
                    <a:blip r:embed="rId8"/>
                    <a:srcRect b="0" l="0" r="0" t="25033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9608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Резултати: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Огромното мнозинство от 92,5% от родителите са съгласни, че програмата подпомага личностното развитие на учениците.</w:t>
      </w:r>
    </w:p>
    <w:p w:rsidR="00000000" w:rsidDel="00000000" w:rsidP="00000000" w:rsidRDefault="00000000" w:rsidRPr="00000000" w14:paraId="00000010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Анализ: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От тях 42,5% са „напълно съгласни“, а 50% са „по-скоро съгласни“, че децата развиват по-голяма увереност и умения за саморегулация. Липсата на отговори „напълно несъгласен“ е силен индикатор за ефективността на методите, прилагани в обучението.</w:t>
      </w:r>
    </w:p>
    <w:p w:rsidR="00000000" w:rsidDel="00000000" w:rsidP="00000000" w:rsidRDefault="00000000" w:rsidRPr="00000000" w14:paraId="00000011">
      <w:pPr>
        <w:rPr>
          <w:rFonts w:ascii="Century Schoolbook" w:cs="Century Schoolbook" w:eastAsia="Century Schoolbook" w:hAnsi="Century Schoolboo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24"/>
          <w:szCs w:val="24"/>
          <w:highlight w:val="white"/>
          <w:rtl w:val="0"/>
        </w:rPr>
        <w:t xml:space="preserve">3. Считате ли, че заниманията, базирани на „учене чрез правене“ и проекти, повишават мотивацията и удоволствието на Вашето дете от ходенето на училище?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2809875</wp:posOffset>
            </wp:positionH>
            <wp:positionV relativeFrom="paragraph">
              <wp:posOffset>245373</wp:posOffset>
            </wp:positionV>
            <wp:extent cx="3452813" cy="2286000"/>
            <wp:effectExtent b="0" l="0" r="0" t="0"/>
            <wp:wrapSquare wrapText="bothSides" distB="114300" distT="114300" distL="114300" distR="114300"/>
            <wp:docPr descr="Диаграма за отговорите на формуляра. Заглавие на въпроса: 3. Считате ли, че заниманията, базирани на „учене чрез правене“ и проекти, повишават мотивацията и удоволствието на Вашето дете от ходенето на училище?. Брой отговори: 40 отговора." id="6" name="image2.png"/>
            <a:graphic>
              <a:graphicData uri="http://schemas.openxmlformats.org/drawingml/2006/picture">
                <pic:pic>
                  <pic:nvPicPr>
                    <pic:cNvPr descr="Диаграма за отговорите на формуляра. Заглавие на въпроса: 3. Считате ли, че заниманията, базирани на „учене чрез правене“ и проекти, повишават мотивацията и удоволствието на Вашето дете от ходенето на училище?. Брой отговори: 40 отговора." id="0" name="image2.png"/>
                    <pic:cNvPicPr preferRelativeResize="0"/>
                  </pic:nvPicPr>
                  <pic:blipFill>
                    <a:blip r:embed="rId9"/>
                    <a:srcRect b="0" l="0" r="0" t="24402"/>
                    <a:stretch>
                      <a:fillRect/>
                    </a:stretch>
                  </pic:blipFill>
                  <pic:spPr>
                    <a:xfrm>
                      <a:off x="0" y="0"/>
                      <a:ext cx="3452813" cy="228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Резултати: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Практическите занимания и проектната дейност оказват изключително позитивно влияние върху отношението към учебния процес.</w:t>
      </w:r>
    </w:p>
    <w:p w:rsidR="00000000" w:rsidDel="00000000" w:rsidP="00000000" w:rsidRDefault="00000000" w:rsidRPr="00000000" w14:paraId="00000015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Анализ: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Над половината от децата (57,5%) споделят с ентусиазъм за тези дейности у дома, а други 32,5% посещават училище с нормален интерес. Тези данни потвърждават, че иновативните подходи повишават мотивацията и удоволствието от образователния процес.</w:t>
      </w:r>
    </w:p>
    <w:p w:rsidR="00000000" w:rsidDel="00000000" w:rsidP="00000000" w:rsidRDefault="00000000" w:rsidRPr="00000000" w14:paraId="00000016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24"/>
          <w:szCs w:val="24"/>
          <w:highlight w:val="white"/>
          <w:rtl w:val="0"/>
        </w:rPr>
        <w:t xml:space="preserve">4. Забелязвате ли подобрение в уменията на Вашето дете да общува с връстниците си и да намира по-лесно решения при конфликти?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jc w:val="both"/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2857500</wp:posOffset>
            </wp:positionH>
            <wp:positionV relativeFrom="paragraph">
              <wp:posOffset>254898</wp:posOffset>
            </wp:positionV>
            <wp:extent cx="3167063" cy="2305050"/>
            <wp:effectExtent b="0" l="0" r="0" t="0"/>
            <wp:wrapSquare wrapText="bothSides" distB="114300" distT="114300" distL="114300" distR="114300"/>
            <wp:docPr descr="Диаграма за отговорите на формуляра. Заглавие на въпроса: 4. Забелязвате ли подобрение в уменията на Вашето дете да общува с връстниците си и да намира по-лесно решения при конфликти?. Брой отговори: 39 отговора." id="2" name="image1.png"/>
            <a:graphic>
              <a:graphicData uri="http://schemas.openxmlformats.org/drawingml/2006/picture">
                <pic:pic>
                  <pic:nvPicPr>
                    <pic:cNvPr descr="Диаграма за отговорите на формуляра. Заглавие на въпроса: 4. Забелязвате ли подобрение в уменията на Вашето дете да общува с връстниците си и да намира по-лесно решения при конфликти?. Брой отговори: 39 отговора." id="0" name="image1.png"/>
                    <pic:cNvPicPr preferRelativeResize="0"/>
                  </pic:nvPicPr>
                  <pic:blipFill>
                    <a:blip r:embed="rId10"/>
                    <a:srcRect b="0" l="0" r="0" t="23625"/>
                    <a:stretch>
                      <a:fillRect/>
                    </a:stretch>
                  </pic:blipFill>
                  <pic:spPr>
                    <a:xfrm>
                      <a:off x="0" y="0"/>
                      <a:ext cx="3167063" cy="2305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Резултати: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Почти всички родители (97,4%) отчитат напредък в социалните умения на децата си.</w:t>
      </w:r>
    </w:p>
    <w:p w:rsidR="00000000" w:rsidDel="00000000" w:rsidP="00000000" w:rsidRDefault="00000000" w:rsidRPr="00000000" w14:paraId="0000001C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Анализ: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Отговорите са разпределени поравно (по 48,7%) между забелязване на „малки подобрения“ и категоричното наблюдение, че детето е станало по-търпеливо и склонно към сътрудничество. Само един респондент посочва, че трудностите в общуването продължават, което подчертава социалния успех на програмата.</w:t>
      </w:r>
    </w:p>
    <w:p w:rsidR="00000000" w:rsidDel="00000000" w:rsidP="00000000" w:rsidRDefault="00000000" w:rsidRPr="00000000" w14:paraId="0000001D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color w:val="1f1f1f"/>
          <w:sz w:val="24"/>
          <w:szCs w:val="24"/>
          <w:highlight w:val="white"/>
          <w:rtl w:val="0"/>
        </w:rPr>
        <w:t xml:space="preserve">5. Бихте ли подкрепили продължаването на иновацията „В света на емоциите“ и през следващите учебни години?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3143250</wp:posOffset>
            </wp:positionH>
            <wp:positionV relativeFrom="paragraph">
              <wp:posOffset>479605</wp:posOffset>
            </wp:positionV>
            <wp:extent cx="3348038" cy="2276475"/>
            <wp:effectExtent b="0" l="0" r="0" t="0"/>
            <wp:wrapSquare wrapText="bothSides" distB="114300" distT="114300" distL="114300" distR="114300"/>
            <wp:docPr descr="Диаграма за отговорите на формуляра. Заглавие на въпроса: 5. Бихте ли подкрепили продължаването на иновацията „В света на емоциите“ и през следващите учебни години?. Брой отговори: 40 отговора." id="5" name="image5.png"/>
            <a:graphic>
              <a:graphicData uri="http://schemas.openxmlformats.org/drawingml/2006/picture">
                <pic:pic>
                  <pic:nvPicPr>
                    <pic:cNvPr descr="Диаграма за отговорите на формуляра. Заглавие на въпроса: 5. Бихте ли подкрепили продължаването на иновацията „В света на емоциите“ и през следващите учебни години?. Брой отговори: 40 отговора." id="0" name="image5.png"/>
                    <pic:cNvPicPr preferRelativeResize="0"/>
                  </pic:nvPicPr>
                  <pic:blipFill>
                    <a:blip r:embed="rId11"/>
                    <a:srcRect b="0" l="0" r="0" t="24627"/>
                    <a:stretch>
                      <a:fillRect/>
                    </a:stretch>
                  </pic:blipFill>
                  <pic:spPr>
                    <a:xfrm>
                      <a:off x="0" y="0"/>
                      <a:ext cx="3348038" cy="2276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jc w:val="both"/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Резултати: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Резултатите показват безапелационна родителска подкрепа за бъдещето на програмата „В света на емоциите“.</w:t>
      </w:r>
    </w:p>
    <w:p w:rsidR="00000000" w:rsidDel="00000000" w:rsidP="00000000" w:rsidRDefault="00000000" w:rsidRPr="00000000" w14:paraId="00000024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Анализ: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Общо 97,5% от анкетираните биха подкрепили продължаването ѝ през следващите учебни години, като 65% са категорични в това си решение. Нито един родител не е гласувал против, което е най-високата възможна оценка за полезността и значимостта на иновацията.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Извод:</w:t>
      </w: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 Анкетата демонстрира, че иновативната програма за социално-емоционално учене се приема изключително добре, като подобрява както вътрешния свят на учениците, така и техните социални взаимодействия и мотивация за училище.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6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